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2374" w14:textId="77777777" w:rsidR="0079434B" w:rsidRPr="000A6F16" w:rsidRDefault="0079434B" w:rsidP="0079434B">
      <w:pPr>
        <w:suppressAutoHyphens/>
        <w:spacing w:after="240" w:line="240" w:lineRule="auto"/>
        <w:jc w:val="center"/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</w:pPr>
      <w:bookmarkStart w:id="0" w:name="_Hlk161411537"/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 xml:space="preserve">OBRAZLOŽENJE OPĆEG DIJELA GODIŠNJEG IZVRŠENJA FINANCIJSKOG PLANA </w:t>
      </w:r>
    </w:p>
    <w:p w14:paraId="65119282" w14:textId="1E55288B" w:rsidR="0079434B" w:rsidRPr="000A6F16" w:rsidRDefault="0079434B" w:rsidP="0079434B">
      <w:pPr>
        <w:suppressAutoHyphens/>
        <w:spacing w:after="240" w:line="240" w:lineRule="auto"/>
        <w:jc w:val="center"/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>za razdoblje 01.01.-31.12.2023.</w:t>
      </w:r>
    </w:p>
    <w:p w14:paraId="0F3DB5C0" w14:textId="09E49D8F" w:rsidR="0079434B" w:rsidRPr="000A6F16" w:rsidRDefault="0079434B" w:rsidP="0079434B">
      <w:pPr>
        <w:suppressAutoHyphens/>
        <w:spacing w:before="360" w:after="240" w:line="276" w:lineRule="auto"/>
        <w:jc w:val="both"/>
        <w:rPr>
          <w:rFonts w:eastAsia="Times New Roman" w:cstheme="minorHAnsi"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Temeljem analize</w:t>
      </w:r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 xml:space="preserve"> 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usvojenog Financijskog izvješća za razdoblje 01.01.-31.12.2023. godine utvrđeni </w:t>
      </w:r>
      <w:bookmarkEnd w:id="0"/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su ostvareni </w:t>
      </w:r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>ukupni prihodi i primici u iznosu od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 </w:t>
      </w:r>
      <w:r w:rsidR="00503411"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>1.088.191,67</w:t>
      </w:r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 xml:space="preserve"> €,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 što iznosi </w:t>
      </w:r>
      <w:r w:rsidR="00D71B60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95,26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% planiranog, </w:t>
      </w:r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 xml:space="preserve">rashodi i izdaci u ukupnom iznosu od </w:t>
      </w:r>
      <w:r w:rsidR="00503411"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>1.065.802,57</w:t>
      </w:r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 xml:space="preserve"> €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, što čini </w:t>
      </w:r>
      <w:r w:rsidR="00D71B60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93,30</w:t>
      </w:r>
      <w:r w:rsidR="00503411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%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 planiranih te rezultat - </w:t>
      </w:r>
      <w:r w:rsidR="00503411"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>višak</w:t>
      </w:r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 xml:space="preserve"> prihoda u </w:t>
      </w:r>
      <w:proofErr w:type="spellStart"/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>izosu</w:t>
      </w:r>
      <w:proofErr w:type="spellEnd"/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 xml:space="preserve"> od </w:t>
      </w:r>
      <w:r w:rsidR="00503411"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>22.359,10</w:t>
      </w:r>
      <w:r w:rsidRPr="000A6F16">
        <w:rPr>
          <w:rFonts w:eastAsia="Times New Roman" w:cstheme="minorHAnsi"/>
          <w:b/>
          <w:bCs/>
          <w:iCs/>
          <w:kern w:val="0"/>
          <w:sz w:val="24"/>
          <w:szCs w:val="24"/>
          <w14:ligatures w14:val="none"/>
        </w:rPr>
        <w:t xml:space="preserve"> €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. Početno stanje novčanih sredstava na računu 01.01.2023. iznosilo je </w:t>
      </w:r>
      <w:r w:rsidR="00503411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355.179,33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 €, a završno </w:t>
      </w:r>
      <w:r w:rsidR="00503411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380.567,08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 €, što je povećanje od </w:t>
      </w:r>
      <w:r w:rsidR="00503411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7,14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%. </w:t>
      </w:r>
    </w:p>
    <w:p w14:paraId="6B77D33E" w14:textId="39FEC6A9" w:rsidR="0014475D" w:rsidRPr="000A6F16" w:rsidRDefault="0014475D" w:rsidP="0079434B">
      <w:pPr>
        <w:suppressAutoHyphens/>
        <w:spacing w:before="360" w:after="240" w:line="276" w:lineRule="auto"/>
        <w:jc w:val="both"/>
        <w:rPr>
          <w:rFonts w:eastAsia="Times New Roman" w:cstheme="minorHAnsi"/>
          <w:iCs/>
          <w:kern w:val="0"/>
          <w:sz w:val="24"/>
          <w:szCs w:val="24"/>
          <w:u w:val="single"/>
          <w14:ligatures w14:val="none"/>
        </w:rPr>
      </w:pPr>
      <w:r w:rsidRPr="000A6F16">
        <w:rPr>
          <w:rFonts w:eastAsia="Times New Roman" w:cstheme="minorHAnsi"/>
          <w:iCs/>
          <w:kern w:val="0"/>
          <w:sz w:val="24"/>
          <w:szCs w:val="24"/>
          <w:u w:val="single"/>
          <w14:ligatures w14:val="none"/>
        </w:rPr>
        <w:t>PRIHODI I PRIMICI</w:t>
      </w:r>
    </w:p>
    <w:p w14:paraId="575177F4" w14:textId="7F7218BA" w:rsidR="0079434B" w:rsidRPr="000A6F16" w:rsidRDefault="0079434B" w:rsidP="0079434B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 xml:space="preserve">TEKUĆE POMOĆI </w:t>
      </w:r>
      <w:r w:rsidR="0014475D"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 xml:space="preserve">PRORAČUNSKIM KORISNICIMA IZ PRORAČUNA KOJI IM NIJE NADLEŽAN </w:t>
      </w:r>
      <w:r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 xml:space="preserve">(Izvor </w:t>
      </w:r>
      <w:r w:rsidR="0014475D"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>5.2.1.</w:t>
      </w:r>
      <w:r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 xml:space="preserve"> - Šifra </w:t>
      </w:r>
      <w:r w:rsidR="0014475D"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>6361)</w:t>
      </w:r>
    </w:p>
    <w:p w14:paraId="6B739FB5" w14:textId="7E5CAD92" w:rsidR="0079434B" w:rsidRPr="000A6F16" w:rsidRDefault="0079434B" w:rsidP="0079434B">
      <w:pPr>
        <w:tabs>
          <w:tab w:val="left" w:pos="567"/>
          <w:tab w:val="left" w:pos="2552"/>
          <w:tab w:val="left" w:pos="5387"/>
          <w:tab w:val="left" w:pos="7938"/>
          <w:tab w:val="right" w:pos="8931"/>
        </w:tabs>
        <w:suppressAutoHyphens/>
        <w:spacing w:before="60" w:after="240" w:line="276" w:lineRule="auto"/>
        <w:jc w:val="both"/>
        <w:rPr>
          <w:rFonts w:eastAsia="Times New Roman" w:cstheme="minorHAnsi"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Tijekom izvještajnog razdoblja </w:t>
      </w:r>
      <w:r w:rsidR="0014475D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doznačena su 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sredstva za </w:t>
      </w:r>
      <w:r w:rsidR="0014475D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financiranje Programa međunarodne kulturne suradnje Gostovanje GK Žar Ptica u Gruziji, Gruzija, Tbilisi, 25.03.-15.06.2023.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 </w:t>
      </w:r>
    </w:p>
    <w:p w14:paraId="73274F42" w14:textId="77777777" w:rsidR="0079434B" w:rsidRPr="000A6F16" w:rsidRDefault="0079434B" w:rsidP="0079434B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after="60" w:line="276" w:lineRule="auto"/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>OSTALI NESPOMENUTI PRIHODI (Izvor 4.3.1 - Šifra 652/6)</w:t>
      </w:r>
    </w:p>
    <w:p w14:paraId="46188798" w14:textId="32FF9F09" w:rsidR="0079434B" w:rsidRPr="000A6F16" w:rsidRDefault="0014475D" w:rsidP="0079434B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after="24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E</w:t>
      </w:r>
      <w:r w:rsidR="0079434B"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pidemiološke mjere su prethodnih godina snažno utjecale na smanjenje prihoda od prodaje ulaznica, plakata i programskih knjižica za razliku od ovogodišnjeg izvještajnog razdoblja, što je rezultiralo povećanjem realiziranog prihoda od prodaje ulaznica za čak </w:t>
      </w: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30,1</w:t>
      </w:r>
      <w:r w:rsidR="0079434B"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% u odnosu na isto razdoblje 2022. godine odnosno povećanjem od </w:t>
      </w: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70,03</w:t>
      </w:r>
      <w:r w:rsidR="0079434B"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% u odnosu na planirani. </w:t>
      </w:r>
    </w:p>
    <w:p w14:paraId="73F42D6B" w14:textId="71BFC882" w:rsidR="0079434B" w:rsidRPr="000A6F16" w:rsidRDefault="0079434B" w:rsidP="0079434B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after="60" w:line="276" w:lineRule="auto"/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>PRIHODI IZ NADLEŽNOG PRORAČUNA ZA FINANCIRANJE RASHODA POSLOVANJA (Izvor 1.1.2 - Šifra 671</w:t>
      </w:r>
      <w:r w:rsidR="00D71B60"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>1</w:t>
      </w:r>
      <w:r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>)</w:t>
      </w:r>
      <w:r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ab/>
      </w:r>
    </w:p>
    <w:p w14:paraId="797F4E84" w14:textId="0F2141E0" w:rsidR="0079434B" w:rsidRPr="000A6F16" w:rsidRDefault="0079434B" w:rsidP="0079434B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after="24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Nadležni Proračun Grada Zagreba tijekom izvještajnog razdoblja je, osim za 2023. uplatio i sredstva za  financiranje rashoda poslovanja za 2022. godinu koja nisu bila u cijelosti doznačena</w:t>
      </w:r>
      <w:r w:rsidR="00D71B60"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. </w:t>
      </w:r>
    </w:p>
    <w:p w14:paraId="23F4067B" w14:textId="49E2365E" w:rsidR="0079434B" w:rsidRPr="000A6F16" w:rsidRDefault="00D71B60" w:rsidP="0079434B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after="24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:u w:val="single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:u w:val="single"/>
          <w14:ligatures w14:val="none"/>
        </w:rPr>
        <w:t xml:space="preserve">RASHODI REDOVNE DJELATNOSTI </w:t>
      </w:r>
    </w:p>
    <w:p w14:paraId="4029C904" w14:textId="6CA06BDE" w:rsidR="00D71B60" w:rsidRPr="000A6F16" w:rsidRDefault="00D71B60" w:rsidP="0079434B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after="240" w:line="276" w:lineRule="auto"/>
        <w:jc w:val="both"/>
        <w:rPr>
          <w:rFonts w:eastAsia="Times New Roman" w:cstheme="minorHAnsi"/>
          <w:b/>
          <w:iCs/>
          <w:kern w:val="0"/>
          <w:sz w:val="24"/>
          <w:szCs w:val="24"/>
          <w:u w:val="single"/>
          <w14:ligatures w14:val="none"/>
        </w:rPr>
      </w:pPr>
      <w:r w:rsidRPr="000A6F16">
        <w:rPr>
          <w:rFonts w:eastAsia="Times New Roman" w:cstheme="minorHAnsi"/>
          <w:b/>
          <w:iCs/>
          <w:kern w:val="0"/>
          <w:sz w:val="24"/>
          <w:szCs w:val="24"/>
          <w:u w:val="single"/>
          <w14:ligatures w14:val="none"/>
        </w:rPr>
        <w:t>Aktivnost A212401</w:t>
      </w:r>
    </w:p>
    <w:p w14:paraId="73B3ECB3" w14:textId="20DC89BA" w:rsidR="0079434B" w:rsidRPr="000A6F16" w:rsidRDefault="0079434B" w:rsidP="0079434B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Ukupni rashodi redovne djelatnosti realizirani su </w:t>
      </w:r>
      <w:r w:rsidR="00D71B60"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za 6,2</w:t>
      </w: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% većem </w:t>
      </w:r>
      <w:r w:rsidR="00D71B60"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u odnosu na planirano. </w:t>
      </w:r>
    </w:p>
    <w:p w14:paraId="588C7C32" w14:textId="6FFC4AD4" w:rsidR="0079434B" w:rsidRPr="000A6F16" w:rsidRDefault="0079434B" w:rsidP="0079434B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Najznačajnija odstupanja izvršenja rashoda redovne djelatnosti u razdoblju 01.01.-31.12.2023. u odnosu na izvršenje u 2022.godini te planirane u 2023. zabilježena su na sljedećim pozicijama:</w:t>
      </w:r>
    </w:p>
    <w:p w14:paraId="1A8EA643" w14:textId="42A1ACF2" w:rsidR="00AE3327" w:rsidRPr="000A6F16" w:rsidRDefault="00AE3327" w:rsidP="00AE3327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A6F1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Izvor 1.1.2. OPĆI PRIHODI I PRIMICI </w:t>
      </w:r>
    </w:p>
    <w:p w14:paraId="1B7429AB" w14:textId="3CCFAC3D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312 – OSTALI RASHODI ZA ZAPOSLENE - izvršenje je veće za 8,2% nastalo zbog pomoći djelatnicima zbog smrti užeg člana obitelji te rođenjem djece djelatnice. </w:t>
      </w:r>
    </w:p>
    <w:p w14:paraId="526F42C9" w14:textId="77777777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323 – RASHODI ZA USLUGE – izvršenje je za 95,83% veće, prvenstveno na poziciji intelektualne i osobne usluge što u GK Žar ptica nije tijekom listopada bio rebalans gdje bi sredstva na istoj stavci povećala jer planiranih 100,00 eura nije bilo dovoljno za novonastale situacije. U kazalištu je došlo </w:t>
      </w: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lastRenderedPageBreak/>
        <w:t xml:space="preserve">odlaska voditeljice računovodstva na porodiljni te je uzeta zamjena, a prije sklapanja Ugovora o radu isto radno mjesto je pokriveno Ugovorom o djelu. Također smo na isti konto stavili rashode nastale Ugovorom o djelu zamjene spremačice te čišćenje dvorišta.  </w:t>
      </w:r>
    </w:p>
    <w:p w14:paraId="78803321" w14:textId="1B4AACE1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>Izvor 4.3.1. PRIHODI ZA POSEBNE NAMJENE-PRORAČUNSKI KORISNICI</w:t>
      </w:r>
    </w:p>
    <w:p w14:paraId="69F97CCA" w14:textId="77777777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321 – NAKNADE TROŠKOVA ZAPOSLENIMA -  izvršenje je manje za 21,85% - troškovi stručnog usavršavanja zaposlenika nisu realizirana.</w:t>
      </w:r>
    </w:p>
    <w:p w14:paraId="4D2EF431" w14:textId="77777777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322 – RASHODI ZA MATERIJAL I ENERGIJU -  izvršenje je veće 43,59% - potrebni materijali i rekviziti za predstave i premijere su veći od planiranih prvenstveno ponovno zbog nerealiziranog rebalansa a i zbog nepredviđenih novih potrebnih materijala za predstave. </w:t>
      </w:r>
    </w:p>
    <w:p w14:paraId="43498927" w14:textId="77777777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323 – RASHODI ZA USLUGE - izvršenje je veće za 52,26% zbog nerealiziranog rebalansa, a također zbog većeg broja angažiranja vanjskih glumaca na predstavama.</w:t>
      </w:r>
    </w:p>
    <w:p w14:paraId="0C1A056E" w14:textId="77777777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329 – OSTALE USLUGE – izvršenje je manje za 58,74% smanjeni su troškovi reprezentacije i ostali nespomenutih troškovi. </w:t>
      </w:r>
    </w:p>
    <w:p w14:paraId="3AB3DBA7" w14:textId="44F0ED2B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/>
          <w:iCs/>
          <w:kern w:val="0"/>
          <w:sz w:val="24"/>
          <w:szCs w:val="24"/>
          <w14:ligatures w14:val="none"/>
        </w:rPr>
        <w:t>Izvor 5.2.1. POMOĆI IZ DRUGIH PRORAČUNA-PK</w:t>
      </w:r>
    </w:p>
    <w:p w14:paraId="70BB9509" w14:textId="1AC1C9B0" w:rsidR="00AE3327" w:rsidRPr="000A6F16" w:rsidRDefault="00AE3327" w:rsidP="0065029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after="240" w:line="276" w:lineRule="auto"/>
        <w:jc w:val="both"/>
        <w:rPr>
          <w:rFonts w:eastAsia="Times New Roman" w:cstheme="minorHAnsi"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Odobreno financiranje programa od strane Ministarstva kulture realiziran</w:t>
      </w:r>
      <w:r w:rsidR="00650297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a su dijelom</w:t>
      </w: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 tijekom godine</w:t>
      </w:r>
      <w:r w:rsidR="00650297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.</w:t>
      </w:r>
    </w:p>
    <w:p w14:paraId="5C649BC2" w14:textId="77777777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321 – NAKNADE TROŠKOVA ZAPOSLENIMA -  izvršenje je manje za 48,2% - troškovi službenog putovanja manji su zbog nerealiziranih gostovanja u Mariboru u periodu od 01.05.-31.08.2023.</w:t>
      </w:r>
    </w:p>
    <w:p w14:paraId="244591A4" w14:textId="77777777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RASHODI - ODRŽAVANJE I OPREMANJE USTANOVA U KULTURI</w:t>
      </w:r>
    </w:p>
    <w:p w14:paraId="0ACE8E05" w14:textId="02C80B75" w:rsidR="00650297" w:rsidRPr="000A6F16" w:rsidRDefault="00AE3327" w:rsidP="0065029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>Dotrajal</w:t>
      </w:r>
      <w:r w:rsidR="00650297" w:rsidRPr="000A6F16">
        <w:rPr>
          <w:rFonts w:eastAsia="Times New Roman" w:cstheme="minorHAnsi"/>
          <w:iCs/>
          <w:kern w:val="0"/>
          <w:sz w:val="24"/>
          <w:szCs w:val="24"/>
          <w14:ligatures w14:val="none"/>
        </w:rPr>
        <w:t xml:space="preserve">e stolice za dvoranu su i u ranijem razdoblju bila u planu no zbog nedostatka </w:t>
      </w:r>
      <w:r w:rsidR="00650297"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>ponude tražene opreme na tržištu (stolice za dvoranu) isto nije realizirano.</w:t>
      </w:r>
    </w:p>
    <w:p w14:paraId="20D61B02" w14:textId="50EE91F2" w:rsidR="00AE3327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/>
          <w:iCs/>
          <w:kern w:val="0"/>
          <w:sz w:val="24"/>
          <w:szCs w:val="24"/>
          <w:u w:val="single"/>
          <w14:ligatures w14:val="none"/>
        </w:rPr>
      </w:pPr>
      <w:r w:rsidRPr="000A6F16">
        <w:rPr>
          <w:rFonts w:eastAsia="Times New Roman" w:cstheme="minorHAnsi"/>
          <w:b/>
          <w:iCs/>
          <w:kern w:val="0"/>
          <w:sz w:val="24"/>
          <w:szCs w:val="24"/>
          <w:u w:val="single"/>
          <w14:ligatures w14:val="none"/>
        </w:rPr>
        <w:t>Aktivnost K212401</w:t>
      </w:r>
    </w:p>
    <w:p w14:paraId="5B8EE56A" w14:textId="4FAB90F1" w:rsidR="0079434B" w:rsidRPr="000A6F16" w:rsidRDefault="00AE3327" w:rsidP="00AE3327">
      <w:pPr>
        <w:tabs>
          <w:tab w:val="left" w:pos="567"/>
          <w:tab w:val="left" w:pos="2552"/>
          <w:tab w:val="left" w:pos="4536"/>
          <w:tab w:val="left" w:pos="5387"/>
          <w:tab w:val="left" w:pos="7938"/>
          <w:tab w:val="right" w:pos="8931"/>
        </w:tabs>
        <w:suppressAutoHyphens/>
        <w:spacing w:before="240" w:after="120" w:line="276" w:lineRule="auto"/>
        <w:jc w:val="both"/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iCs/>
          <w:kern w:val="0"/>
          <w:sz w:val="24"/>
          <w:szCs w:val="24"/>
          <w14:ligatures w14:val="none"/>
        </w:rPr>
        <w:t xml:space="preserve">422 – POSTROJENJA I OPREMA -  izvršenje je manje za 2.099% – nabava nije realizirana u planiranom iznosu zbog nedostatka ponude tražene opreme na tržištu (stolice za dvoranu) </w:t>
      </w:r>
    </w:p>
    <w:p w14:paraId="1404069A" w14:textId="0C8A7F4E" w:rsidR="0079434B" w:rsidRPr="000A6F16" w:rsidRDefault="0079434B" w:rsidP="0079434B">
      <w:pPr>
        <w:keepLines/>
        <w:widowControl w:val="0"/>
        <w:suppressAutoHyphens/>
        <w:spacing w:before="360" w:after="0" w:line="276" w:lineRule="auto"/>
        <w:rPr>
          <w:rFonts w:eastAsia="Times New Roman" w:cstheme="minorHAnsi"/>
          <w:bCs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Cs/>
          <w:kern w:val="0"/>
          <w:sz w:val="24"/>
          <w:szCs w:val="24"/>
          <w14:ligatures w14:val="none"/>
        </w:rPr>
        <w:t xml:space="preserve">U Zagrebu, </w:t>
      </w:r>
      <w:r w:rsidR="0090605A" w:rsidRPr="000A6F16">
        <w:rPr>
          <w:rFonts w:eastAsia="Times New Roman" w:cstheme="minorHAnsi"/>
          <w:bCs/>
          <w:kern w:val="0"/>
          <w:sz w:val="24"/>
          <w:szCs w:val="24"/>
          <w14:ligatures w14:val="none"/>
        </w:rPr>
        <w:t>20</w:t>
      </w:r>
      <w:r w:rsidRPr="000A6F16">
        <w:rPr>
          <w:rFonts w:eastAsia="Times New Roman" w:cstheme="minorHAnsi"/>
          <w:bCs/>
          <w:kern w:val="0"/>
          <w:sz w:val="24"/>
          <w:szCs w:val="24"/>
          <w14:ligatures w14:val="none"/>
        </w:rPr>
        <w:t>. ožujka 2024.</w:t>
      </w:r>
    </w:p>
    <w:p w14:paraId="5ED0F29F" w14:textId="3AE69BD0" w:rsidR="0079434B" w:rsidRPr="000A6F16" w:rsidRDefault="0079434B" w:rsidP="0079434B">
      <w:pPr>
        <w:keepLines/>
        <w:widowControl w:val="0"/>
        <w:suppressAutoHyphens/>
        <w:spacing w:beforeLines="200" w:before="480"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  <w:t>Drago Utješanović, ravnatelj</w:t>
      </w:r>
    </w:p>
    <w:p w14:paraId="797DF56B" w14:textId="15DFC9BD" w:rsidR="0079434B" w:rsidRPr="000A6F16" w:rsidRDefault="0079434B" w:rsidP="0079434B">
      <w:pPr>
        <w:keepLines/>
        <w:widowControl w:val="0"/>
        <w:suppressAutoHyphens/>
        <w:spacing w:beforeLines="200" w:before="480" w:after="0" w:line="276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  <w:r w:rsidRPr="000A6F16">
        <w:rPr>
          <w:rFonts w:eastAsia="Times New Roman" w:cstheme="minorHAnsi"/>
          <w:b/>
          <w:kern w:val="0"/>
          <w:sz w:val="24"/>
          <w:szCs w:val="24"/>
          <w14:ligatures w14:val="none"/>
        </w:rPr>
        <w:tab/>
      </w:r>
    </w:p>
    <w:p w14:paraId="703D01E7" w14:textId="2CA265C1" w:rsidR="0079434B" w:rsidRPr="000A6F16" w:rsidRDefault="0079434B" w:rsidP="0079434B">
      <w:pPr>
        <w:keepLines/>
        <w:widowControl w:val="0"/>
        <w:suppressAutoHyphens/>
        <w:spacing w:before="60" w:after="0" w:line="240" w:lineRule="exact"/>
        <w:rPr>
          <w:rFonts w:eastAsia="Times New Roman" w:cstheme="minorHAnsi"/>
          <w:i/>
          <w:kern w:val="0"/>
          <w:sz w:val="24"/>
          <w:szCs w:val="24"/>
          <w14:ligatures w14:val="none"/>
        </w:rPr>
      </w:pPr>
    </w:p>
    <w:p w14:paraId="1E5DB6CC" w14:textId="77777777" w:rsidR="00E33589" w:rsidRPr="000A6F16" w:rsidRDefault="00E33589">
      <w:pPr>
        <w:rPr>
          <w:rFonts w:cstheme="minorHAnsi"/>
          <w:sz w:val="24"/>
          <w:szCs w:val="24"/>
        </w:rPr>
      </w:pPr>
    </w:p>
    <w:sectPr w:rsidR="00E33589" w:rsidRPr="000A6F16" w:rsidSect="0094002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1134" w:bottom="1135" w:left="1134" w:header="425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E34B" w14:textId="77777777" w:rsidR="0094002E" w:rsidRDefault="0094002E" w:rsidP="0079434B">
      <w:pPr>
        <w:spacing w:after="0" w:line="240" w:lineRule="auto"/>
      </w:pPr>
      <w:r>
        <w:separator/>
      </w:r>
    </w:p>
  </w:endnote>
  <w:endnote w:type="continuationSeparator" w:id="0">
    <w:p w14:paraId="2E75D5DD" w14:textId="77777777" w:rsidR="0094002E" w:rsidRDefault="0094002E" w:rsidP="0079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087E" w14:textId="77777777" w:rsidR="00031FCB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01BA8B" w14:textId="77777777" w:rsidR="00031FCB" w:rsidRDefault="00031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5E8E" w14:textId="77777777" w:rsidR="00031FCB" w:rsidRPr="007C3C92" w:rsidRDefault="00000000" w:rsidP="00BF3061">
    <w:pPr>
      <w:pStyle w:val="Footer"/>
      <w:framePr w:wrap="around" w:vAnchor="text" w:hAnchor="margin" w:xAlign="right" w:y="1"/>
      <w:spacing w:after="120"/>
      <w:rPr>
        <w:rStyle w:val="PageNumber"/>
        <w:rFonts w:ascii="Century Gothic" w:hAnsi="Century Gothic"/>
        <w:sz w:val="18"/>
        <w:szCs w:val="18"/>
      </w:rPr>
    </w:pPr>
    <w:r w:rsidRPr="007C3C92">
      <w:rPr>
        <w:rStyle w:val="PageNumber"/>
        <w:rFonts w:ascii="Century Gothic" w:hAnsi="Century Gothic"/>
        <w:sz w:val="18"/>
        <w:szCs w:val="18"/>
      </w:rPr>
      <w:fldChar w:fldCharType="begin"/>
    </w:r>
    <w:r w:rsidRPr="007C3C92">
      <w:rPr>
        <w:rStyle w:val="PageNumber"/>
        <w:rFonts w:ascii="Century Gothic" w:hAnsi="Century Gothic"/>
        <w:sz w:val="18"/>
        <w:szCs w:val="18"/>
      </w:rPr>
      <w:instrText xml:space="preserve">PAGE  </w:instrText>
    </w:r>
    <w:r w:rsidRPr="007C3C92">
      <w:rPr>
        <w:rStyle w:val="PageNumber"/>
        <w:rFonts w:ascii="Century Gothic" w:hAnsi="Century Gothic"/>
        <w:sz w:val="18"/>
        <w:szCs w:val="18"/>
      </w:rPr>
      <w:fldChar w:fldCharType="separate"/>
    </w:r>
    <w:r>
      <w:rPr>
        <w:rStyle w:val="PageNumber"/>
        <w:rFonts w:ascii="Century Gothic" w:hAnsi="Century Gothic"/>
        <w:noProof/>
        <w:sz w:val="18"/>
        <w:szCs w:val="18"/>
      </w:rPr>
      <w:t>6</w:t>
    </w:r>
    <w:r w:rsidRPr="007C3C92">
      <w:rPr>
        <w:rStyle w:val="PageNumber"/>
        <w:rFonts w:ascii="Century Gothic" w:hAnsi="Century Gothic"/>
        <w:sz w:val="18"/>
        <w:szCs w:val="18"/>
      </w:rPr>
      <w:fldChar w:fldCharType="end"/>
    </w:r>
  </w:p>
  <w:p w14:paraId="5AED5D9A" w14:textId="77777777" w:rsidR="00031FCB" w:rsidRDefault="00031FCB" w:rsidP="006069CD">
    <w:pPr>
      <w:pStyle w:val="Footer"/>
      <w:spacing w:after="0"/>
      <w:ind w:right="3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7EE8" w14:textId="77777777" w:rsidR="00031FCB" w:rsidRPr="001A5CFE" w:rsidRDefault="00000000" w:rsidP="000C080A">
    <w:pPr>
      <w:pStyle w:val="Footer"/>
      <w:tabs>
        <w:tab w:val="left" w:pos="7049"/>
        <w:tab w:val="right" w:pos="8931"/>
      </w:tabs>
      <w:spacing w:after="36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7C3C92">
      <w:rPr>
        <w:sz w:val="18"/>
        <w:szCs w:val="18"/>
      </w:rPr>
      <w:fldChar w:fldCharType="begin"/>
    </w:r>
    <w:r w:rsidRPr="007C3C92">
      <w:rPr>
        <w:sz w:val="18"/>
        <w:szCs w:val="18"/>
      </w:rPr>
      <w:instrText xml:space="preserve"> PAGE   \* MERGEFORMAT </w:instrText>
    </w:r>
    <w:r w:rsidRPr="007C3C92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7C3C9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8B8F0" w14:textId="77777777" w:rsidR="0094002E" w:rsidRDefault="0094002E" w:rsidP="0079434B">
      <w:pPr>
        <w:spacing w:after="0" w:line="240" w:lineRule="auto"/>
      </w:pPr>
      <w:r>
        <w:separator/>
      </w:r>
    </w:p>
  </w:footnote>
  <w:footnote w:type="continuationSeparator" w:id="0">
    <w:p w14:paraId="34DABE50" w14:textId="77777777" w:rsidR="0094002E" w:rsidRDefault="0094002E" w:rsidP="0079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2044" w14:textId="77777777" w:rsidR="0079434B" w:rsidRDefault="0079434B" w:rsidP="0079434B">
    <w:pPr>
      <w:pStyle w:val="Header"/>
    </w:pPr>
    <w:r>
      <w:t>GK Žar Ptica</w:t>
    </w:r>
  </w:p>
  <w:p w14:paraId="5DF7D398" w14:textId="02E0BCDD" w:rsidR="00031FCB" w:rsidRDefault="00031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8A17" w14:textId="125A80A5" w:rsidR="00031FCB" w:rsidRDefault="0079434B" w:rsidP="0079434B">
    <w:pPr>
      <w:pStyle w:val="Header"/>
    </w:pPr>
    <w:r>
      <w:t>GK Žar Ptica</w:t>
    </w:r>
  </w:p>
  <w:p w14:paraId="415A9D8F" w14:textId="77777777" w:rsidR="0079434B" w:rsidRPr="0079434B" w:rsidRDefault="0079434B" w:rsidP="0079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4B"/>
    <w:rsid w:val="00031FCB"/>
    <w:rsid w:val="000A6F16"/>
    <w:rsid w:val="0014475D"/>
    <w:rsid w:val="004765B9"/>
    <w:rsid w:val="00503411"/>
    <w:rsid w:val="00650297"/>
    <w:rsid w:val="0079434B"/>
    <w:rsid w:val="0090605A"/>
    <w:rsid w:val="0094002E"/>
    <w:rsid w:val="00946BA2"/>
    <w:rsid w:val="00A60217"/>
    <w:rsid w:val="00AE3327"/>
    <w:rsid w:val="00C920D4"/>
    <w:rsid w:val="00CE2425"/>
    <w:rsid w:val="00D71B60"/>
    <w:rsid w:val="00E3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27374"/>
  <w15:chartTrackingRefBased/>
  <w15:docId w15:val="{6FE1DE42-798A-488C-9964-D1F0D4EC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434B"/>
    <w:pPr>
      <w:tabs>
        <w:tab w:val="center" w:pos="4536"/>
        <w:tab w:val="right" w:pos="9072"/>
      </w:tabs>
      <w:suppressAutoHyphens/>
      <w:spacing w:after="290" w:line="290" w:lineRule="exact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79434B"/>
    <w:rPr>
      <w:rFonts w:ascii="Times" w:eastAsia="Times New Roman" w:hAnsi="Times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79434B"/>
    <w:pPr>
      <w:tabs>
        <w:tab w:val="center" w:pos="4536"/>
        <w:tab w:val="right" w:pos="9072"/>
      </w:tabs>
      <w:suppressAutoHyphens/>
      <w:spacing w:after="290" w:line="290" w:lineRule="exact"/>
    </w:pPr>
    <w:rPr>
      <w:rFonts w:ascii="Times" w:eastAsia="Times New Roman" w:hAnsi="Times" w:cs="Times New Roman"/>
      <w:kern w:val="0"/>
      <w:sz w:val="24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9434B"/>
    <w:rPr>
      <w:rFonts w:ascii="Times" w:eastAsia="Times New Roman" w:hAnsi="Times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79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Anic</dc:creator>
  <cp:keywords/>
  <dc:description/>
  <cp:lastModifiedBy>Dragica Anic</cp:lastModifiedBy>
  <cp:revision>5</cp:revision>
  <dcterms:created xsi:type="dcterms:W3CDTF">2024-04-22T08:17:00Z</dcterms:created>
  <dcterms:modified xsi:type="dcterms:W3CDTF">2024-04-23T11:30:00Z</dcterms:modified>
</cp:coreProperties>
</file>